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02"/>
        <w:gridCol w:w="7900"/>
      </w:tblGrid>
      <w:tr w:rsidR="002B0D84" w:rsidRPr="007E5985" w:rsidTr="00B509F9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D84" w:rsidRPr="007E5985" w:rsidRDefault="002B0D84" w:rsidP="00B509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D84" w:rsidRPr="007E5985" w:rsidRDefault="002B0D84" w:rsidP="00B509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b/>
                <w:sz w:val="28"/>
                <w:szCs w:val="28"/>
              </w:rPr>
              <w:t>1.2 Второй рубежный контроль</w:t>
            </w:r>
          </w:p>
        </w:tc>
      </w:tr>
      <w:tr w:rsidR="002B0D84" w:rsidRPr="007E5985" w:rsidTr="00B509F9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D84" w:rsidRPr="007E5985" w:rsidRDefault="002B0D84" w:rsidP="00B509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D84" w:rsidRPr="007E5985" w:rsidRDefault="002B0D84" w:rsidP="00B509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Абсолютная и относительная погрешности, их учет и анализ</w:t>
            </w:r>
          </w:p>
        </w:tc>
      </w:tr>
      <w:tr w:rsidR="002B0D84" w:rsidRPr="007E5985" w:rsidTr="00B509F9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D84" w:rsidRPr="007E5985" w:rsidRDefault="002B0D84" w:rsidP="00B509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D84" w:rsidRPr="007E5985" w:rsidRDefault="002B0D84" w:rsidP="00B509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Оценка случайных погрешностей  методами математической статистики</w:t>
            </w:r>
          </w:p>
        </w:tc>
      </w:tr>
      <w:tr w:rsidR="002B0D84" w:rsidRPr="007E5985" w:rsidTr="00B509F9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D84" w:rsidRPr="007E5985" w:rsidRDefault="002B0D84" w:rsidP="00B509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D84" w:rsidRPr="007E5985" w:rsidRDefault="002B0D84" w:rsidP="00B509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Расчет, построение и анализ вероятностных распределений</w:t>
            </w:r>
          </w:p>
        </w:tc>
      </w:tr>
      <w:tr w:rsidR="002B0D84" w:rsidRPr="007E5985" w:rsidTr="00B509F9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D84" w:rsidRPr="007E5985" w:rsidRDefault="002B0D84" w:rsidP="00B509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D84" w:rsidRPr="007E5985" w:rsidRDefault="002B0D84" w:rsidP="00B509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Применение вероятностных распределений в практике</w:t>
            </w:r>
          </w:p>
        </w:tc>
      </w:tr>
      <w:tr w:rsidR="002B0D84" w:rsidRPr="007E5985" w:rsidTr="00B509F9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D84" w:rsidRPr="007E5985" w:rsidRDefault="002B0D84" w:rsidP="00B509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D84" w:rsidRPr="007E5985" w:rsidRDefault="002B0D84" w:rsidP="00B509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Классификация средств измерения</w:t>
            </w:r>
          </w:p>
        </w:tc>
      </w:tr>
      <w:tr w:rsidR="002B0D84" w:rsidRPr="007E5985" w:rsidTr="00B509F9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D84" w:rsidRPr="007E5985" w:rsidRDefault="002B0D84" w:rsidP="00B509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D84" w:rsidRPr="007E5985" w:rsidRDefault="002B0D84" w:rsidP="00B509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Метрологические характеристики измерительных средств</w:t>
            </w:r>
          </w:p>
        </w:tc>
      </w:tr>
      <w:tr w:rsidR="002B0D84" w:rsidRPr="007E5985" w:rsidTr="00B509F9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D84" w:rsidRPr="007E5985" w:rsidRDefault="002B0D84" w:rsidP="00B509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D84" w:rsidRPr="007E5985" w:rsidRDefault="002B0D84" w:rsidP="00B509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Измерительные средства общего назначения</w:t>
            </w:r>
          </w:p>
        </w:tc>
      </w:tr>
      <w:tr w:rsidR="002B0D84" w:rsidRPr="007E5985" w:rsidTr="00B509F9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D84" w:rsidRPr="007E5985" w:rsidRDefault="002B0D84" w:rsidP="00B509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D84" w:rsidRPr="007E5985" w:rsidRDefault="002B0D84" w:rsidP="00B509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Понятия о взаимозаменяемости. Допуски и посадки</w:t>
            </w:r>
          </w:p>
        </w:tc>
      </w:tr>
      <w:tr w:rsidR="002B0D84" w:rsidRPr="007E5985" w:rsidTr="00B509F9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D84" w:rsidRPr="007E5985" w:rsidRDefault="002B0D84" w:rsidP="00B509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D84" w:rsidRPr="007E5985" w:rsidRDefault="002B0D84" w:rsidP="00B509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Общие понятия по сертификации</w:t>
            </w:r>
          </w:p>
        </w:tc>
      </w:tr>
      <w:tr w:rsidR="002B0D84" w:rsidRPr="007E5985" w:rsidTr="00B509F9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D84" w:rsidRPr="007E5985" w:rsidRDefault="002B0D84" w:rsidP="00B509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D84" w:rsidRPr="007E5985" w:rsidRDefault="002B0D84" w:rsidP="00B509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Документы, регламентирующие проведение сертификации</w:t>
            </w:r>
          </w:p>
        </w:tc>
      </w:tr>
      <w:tr w:rsidR="002B0D84" w:rsidRPr="007E5985" w:rsidTr="00B509F9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D84" w:rsidRPr="007E5985" w:rsidRDefault="002B0D84" w:rsidP="00B509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D84" w:rsidRPr="007E5985" w:rsidRDefault="002B0D84" w:rsidP="00B509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Основные этапы сертификации</w:t>
            </w:r>
          </w:p>
        </w:tc>
      </w:tr>
      <w:tr w:rsidR="002B0D84" w:rsidRPr="007E5985" w:rsidTr="00B509F9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D84" w:rsidRPr="007E5985" w:rsidRDefault="002B0D84" w:rsidP="00B509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D84" w:rsidRPr="007E5985" w:rsidRDefault="002B0D84" w:rsidP="00B509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Сертификаты соответствия. Знаки соответствия</w:t>
            </w:r>
          </w:p>
        </w:tc>
      </w:tr>
    </w:tbl>
    <w:p w:rsidR="002B0D84" w:rsidRPr="007E5985" w:rsidRDefault="002B0D84" w:rsidP="002B0D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B0D84" w:rsidRPr="007E5985" w:rsidRDefault="002B0D84" w:rsidP="002B0D84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2 ПРИМЕРЫ ТЕСТОВЫХ ВОПРОСОВ</w:t>
      </w:r>
    </w:p>
    <w:p w:rsidR="002B0D84" w:rsidRPr="007E5985" w:rsidRDefault="002B0D84" w:rsidP="002B0D8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B0D84" w:rsidRPr="007E5985" w:rsidRDefault="002B0D84" w:rsidP="002B0D84">
      <w:pPr>
        <w:numPr>
          <w:ilvl w:val="0"/>
          <w:numId w:val="1"/>
        </w:numPr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… - это наука об измерении, методах и средствах обеспечения их единства и способах достижения их точности.</w:t>
      </w:r>
    </w:p>
    <w:p w:rsidR="002B0D84" w:rsidRPr="007E5985" w:rsidRDefault="002B0D84" w:rsidP="002B0D8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А) метрология</w:t>
      </w:r>
    </w:p>
    <w:p w:rsidR="002B0D84" w:rsidRPr="007E5985" w:rsidRDefault="002B0D84" w:rsidP="002B0D8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В) стандартизация</w:t>
      </w:r>
    </w:p>
    <w:p w:rsidR="002B0D84" w:rsidRPr="007E5985" w:rsidRDefault="002B0D84" w:rsidP="002B0D8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С) сертификация</w:t>
      </w:r>
    </w:p>
    <w:p w:rsidR="002B0D84" w:rsidRPr="007E5985" w:rsidRDefault="002B0D84" w:rsidP="002B0D8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Д) мера</w:t>
      </w:r>
    </w:p>
    <w:p w:rsidR="002B0D84" w:rsidRPr="007E5985" w:rsidRDefault="002B0D84" w:rsidP="002B0D8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Е) эталон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2) … - это одно из свойств физического объекта, общее  в качественном отношении для многих физических объектов, но в количественном отношении индивидуально для каждого.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А) физическая величина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В) стандартизация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С) сертификация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Д) мера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Е) эталон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3) Сколько единиц содержит система Си?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А) 5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В) 6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С) 7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Д) 8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Е) 9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 xml:space="preserve">4) … - это средство </w:t>
      </w:r>
      <w:proofErr w:type="gramStart"/>
      <w:r w:rsidRPr="007E5985">
        <w:rPr>
          <w:rFonts w:ascii="Times New Roman" w:hAnsi="Times New Roman" w:cs="Times New Roman"/>
          <w:sz w:val="28"/>
          <w:szCs w:val="28"/>
        </w:rPr>
        <w:t>измерений</w:t>
      </w:r>
      <w:proofErr w:type="gramEnd"/>
      <w:r w:rsidRPr="007E5985">
        <w:rPr>
          <w:rFonts w:ascii="Times New Roman" w:hAnsi="Times New Roman" w:cs="Times New Roman"/>
          <w:sz w:val="28"/>
          <w:szCs w:val="28"/>
        </w:rPr>
        <w:t xml:space="preserve"> предназначенное для воспроизведения и хранения единицы и передачи ее размера нижестоящим по поверочной схеме.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lastRenderedPageBreak/>
        <w:t>А) эталон физической величины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В) единица физической величины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С) физическая величина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Д) мера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Е) метрология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5) За истинное значение физической величины принимается: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 xml:space="preserve">А) </w:t>
      </w:r>
      <w:proofErr w:type="gramStart"/>
      <w:r w:rsidRPr="007E5985">
        <w:rPr>
          <w:rFonts w:ascii="Times New Roman" w:hAnsi="Times New Roman" w:cs="Times New Roman"/>
          <w:sz w:val="28"/>
          <w:szCs w:val="28"/>
        </w:rPr>
        <w:t>значение, полученное при помощи эталонных приборов или принимается</w:t>
      </w:r>
      <w:proofErr w:type="gramEnd"/>
      <w:r w:rsidRPr="007E5985">
        <w:rPr>
          <w:rFonts w:ascii="Times New Roman" w:hAnsi="Times New Roman" w:cs="Times New Roman"/>
          <w:sz w:val="28"/>
          <w:szCs w:val="28"/>
        </w:rPr>
        <w:t xml:space="preserve"> среднеарифметическое значение измеряемой величины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В) только значение, полученное при помощи эталонных приборов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С) только среднеарифметическое значение измеряемой величины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Д) наибольшее значение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Е) наименьшее значение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 xml:space="preserve">6) По формуле </w:t>
      </w:r>
      <w:r w:rsidRPr="007E5985">
        <w:rPr>
          <w:rFonts w:ascii="Times New Roman" w:hAnsi="Times New Roman" w:cs="Times New Roman"/>
          <w:position w:val="-12"/>
          <w:sz w:val="28"/>
          <w:szCs w:val="28"/>
        </w:rPr>
        <w:object w:dxaOrig="162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1pt;height:18pt" o:ole="">
            <v:imagedata r:id="rId6" o:title=""/>
          </v:shape>
          <o:OLEObject Type="Embed" ProgID="Equation.3" ShapeID="_x0000_i1025" DrawAspect="Content" ObjectID="_1667286760" r:id="rId7"/>
        </w:object>
      </w:r>
      <w:r w:rsidRPr="007E5985">
        <w:rPr>
          <w:rFonts w:ascii="Times New Roman" w:hAnsi="Times New Roman" w:cs="Times New Roman"/>
          <w:sz w:val="28"/>
          <w:szCs w:val="28"/>
        </w:rPr>
        <w:t xml:space="preserve"> определяется: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А) размах измерения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В) среднеквадратичное отклонение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С) среднеарифметическое значение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Д) среднеквадратичная ошибка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Е) погрешность измерений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 xml:space="preserve">7) По формуле </w:t>
      </w:r>
      <w:r w:rsidRPr="007E5985">
        <w:rPr>
          <w:rFonts w:ascii="Times New Roman" w:hAnsi="Times New Roman" w:cs="Times New Roman"/>
          <w:position w:val="-12"/>
          <w:sz w:val="28"/>
          <w:szCs w:val="28"/>
        </w:rPr>
        <w:object w:dxaOrig="1540" w:dyaOrig="499">
          <v:shape id="_x0000_i1026" type="#_x0000_t75" style="width:71.25pt;height:22.5pt" o:ole="">
            <v:imagedata r:id="rId8" o:title=""/>
          </v:shape>
          <o:OLEObject Type="Embed" ProgID="Equation.3" ShapeID="_x0000_i1026" DrawAspect="Content" ObjectID="_1667286761" r:id="rId9"/>
        </w:object>
      </w:r>
      <w:r w:rsidRPr="007E5985">
        <w:rPr>
          <w:rFonts w:ascii="Times New Roman" w:hAnsi="Times New Roman" w:cs="Times New Roman"/>
          <w:sz w:val="28"/>
          <w:szCs w:val="28"/>
        </w:rPr>
        <w:t xml:space="preserve"> определяется: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А) размах измерения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В) среднеквадратичное отклонение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С) среднеарифметическое значение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Д) среднеквадратичная ошибка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Е) погрешность измерений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 xml:space="preserve">8) В формуле </w:t>
      </w:r>
      <w:r w:rsidRPr="007E5985">
        <w:rPr>
          <w:rFonts w:ascii="Times New Roman" w:hAnsi="Times New Roman" w:cs="Times New Roman"/>
          <w:position w:val="-6"/>
          <w:sz w:val="28"/>
          <w:szCs w:val="28"/>
        </w:rPr>
        <w:object w:dxaOrig="1020" w:dyaOrig="279">
          <v:shape id="_x0000_i1027" type="#_x0000_t75" style="width:51.75pt;height:14.25pt" o:ole="">
            <v:imagedata r:id="rId10" o:title=""/>
          </v:shape>
          <o:OLEObject Type="Embed" ProgID="Equation.3" ShapeID="_x0000_i1027" DrawAspect="Content" ObjectID="_1667286762" r:id="rId11"/>
        </w:object>
      </w:r>
      <w:r w:rsidRPr="007E5985">
        <w:rPr>
          <w:rFonts w:ascii="Times New Roman" w:hAnsi="Times New Roman" w:cs="Times New Roman"/>
          <w:sz w:val="28"/>
          <w:szCs w:val="28"/>
        </w:rPr>
        <w:t xml:space="preserve"> </w:t>
      </w:r>
      <w:r w:rsidRPr="007E5985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7E5985">
        <w:rPr>
          <w:rFonts w:ascii="Times New Roman" w:hAnsi="Times New Roman" w:cs="Times New Roman"/>
          <w:sz w:val="28"/>
          <w:szCs w:val="28"/>
        </w:rPr>
        <w:t xml:space="preserve"> это: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А) число измерений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В) величина интервала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С) среднеарифметическое значение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Д) среднеквадратичная ошибка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Е) погрешность измерений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 xml:space="preserve">9) В каком случае в формуле </w:t>
      </w:r>
      <w:r w:rsidRPr="007E5985">
        <w:rPr>
          <w:rFonts w:ascii="Times New Roman" w:hAnsi="Times New Roman" w:cs="Times New Roman"/>
          <w:position w:val="-30"/>
          <w:sz w:val="28"/>
          <w:szCs w:val="28"/>
        </w:rPr>
        <w:object w:dxaOrig="2160" w:dyaOrig="1080">
          <v:shape id="_x0000_i1028" type="#_x0000_t75" style="width:108.75pt;height:54pt" o:ole="">
            <v:imagedata r:id="rId12" o:title=""/>
          </v:shape>
          <o:OLEObject Type="Embed" ProgID="Equation.3" ShapeID="_x0000_i1028" DrawAspect="Content" ObjectID="_1667286763" r:id="rId13"/>
        </w:object>
      </w:r>
      <w:r w:rsidRPr="007E5985">
        <w:rPr>
          <w:rFonts w:ascii="Times New Roman" w:hAnsi="Times New Roman" w:cs="Times New Roman"/>
          <w:sz w:val="28"/>
          <w:szCs w:val="28"/>
        </w:rPr>
        <w:t xml:space="preserve">в знаменателе используют </w:t>
      </w:r>
      <w:r w:rsidRPr="007E5985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7E5985">
        <w:rPr>
          <w:rFonts w:ascii="Times New Roman" w:hAnsi="Times New Roman" w:cs="Times New Roman"/>
          <w:sz w:val="28"/>
          <w:szCs w:val="28"/>
        </w:rPr>
        <w:t>-1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 xml:space="preserve">А) если </w:t>
      </w:r>
      <w:r w:rsidRPr="007E5985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7E5985">
        <w:rPr>
          <w:rFonts w:ascii="Times New Roman" w:hAnsi="Times New Roman" w:cs="Times New Roman"/>
          <w:sz w:val="28"/>
          <w:szCs w:val="28"/>
        </w:rPr>
        <w:t>=&lt;20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 xml:space="preserve">В) если </w:t>
      </w:r>
      <w:r w:rsidRPr="007E5985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7E5985">
        <w:rPr>
          <w:rFonts w:ascii="Times New Roman" w:hAnsi="Times New Roman" w:cs="Times New Roman"/>
          <w:sz w:val="28"/>
          <w:szCs w:val="28"/>
        </w:rPr>
        <w:t>&gt;20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 xml:space="preserve">С) если </w:t>
      </w:r>
      <w:r w:rsidRPr="007E5985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7E5985">
        <w:rPr>
          <w:rFonts w:ascii="Times New Roman" w:hAnsi="Times New Roman" w:cs="Times New Roman"/>
          <w:sz w:val="28"/>
          <w:szCs w:val="28"/>
        </w:rPr>
        <w:t>=1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 xml:space="preserve">Д) если </w:t>
      </w:r>
      <w:r w:rsidRPr="007E5985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7E5985">
        <w:rPr>
          <w:rFonts w:ascii="Times New Roman" w:hAnsi="Times New Roman" w:cs="Times New Roman"/>
          <w:sz w:val="28"/>
          <w:szCs w:val="28"/>
        </w:rPr>
        <w:t>=0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 xml:space="preserve">Е) если </w:t>
      </w:r>
      <w:r w:rsidRPr="007E5985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7E5985">
        <w:rPr>
          <w:rFonts w:ascii="Times New Roman" w:hAnsi="Times New Roman" w:cs="Times New Roman"/>
          <w:sz w:val="28"/>
          <w:szCs w:val="28"/>
        </w:rPr>
        <w:t>&gt;100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lastRenderedPageBreak/>
        <w:t>10) Высшим звеном передачи размеров физических величин является …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А) международные и государственные эталоны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В) первичный эталон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С) рабочий эталон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Д) только государственный эталон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Е) вторичный эталон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11) В каком году была принята система Си?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А) 1960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В) 1850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С) 1841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Д) 1730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Е) 1680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12) … - это значение, полученное экспериментальным путем и близкое к истинному значению.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 xml:space="preserve"> А) действительное значение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В) истинное значение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С) среднеарифметическое значение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Д) среднеквадратичная ошибка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Е) погрешность измерений</w:t>
      </w: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2B0D84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2B0D84" w:rsidRPr="007E5985" w:rsidRDefault="002B0D84" w:rsidP="002B0D84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2B0D84" w:rsidRPr="007E5985" w:rsidRDefault="002B0D84" w:rsidP="002B0D84">
      <w:pPr>
        <w:pStyle w:val="a3"/>
        <w:tabs>
          <w:tab w:val="right" w:pos="9355"/>
        </w:tabs>
        <w:jc w:val="left"/>
        <w:rPr>
          <w:b w:val="0"/>
          <w:szCs w:val="28"/>
          <w:lang w:val="kk-KZ"/>
        </w:rPr>
      </w:pPr>
    </w:p>
    <w:p w:rsidR="003D0242" w:rsidRDefault="003D0242">
      <w:bookmarkStart w:id="0" w:name="_GoBack"/>
      <w:bookmarkEnd w:id="0"/>
    </w:p>
    <w:sectPr w:rsidR="003D02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F22048"/>
    <w:multiLevelType w:val="hybridMultilevel"/>
    <w:tmpl w:val="6E645FF2"/>
    <w:lvl w:ilvl="0" w:tplc="041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0D84"/>
    <w:rsid w:val="002B0D84"/>
    <w:rsid w:val="003D0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0D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2B0D84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4">
    <w:name w:val="Название Знак"/>
    <w:basedOn w:val="a0"/>
    <w:link w:val="a3"/>
    <w:rsid w:val="002B0D84"/>
    <w:rPr>
      <w:rFonts w:ascii="Times New Roman" w:eastAsia="Times New Roman" w:hAnsi="Times New Roman" w:cs="Times New Roman"/>
      <w:b/>
      <w:bCs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0D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2B0D84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4">
    <w:name w:val="Название Знак"/>
    <w:basedOn w:val="a0"/>
    <w:link w:val="a3"/>
    <w:rsid w:val="002B0D84"/>
    <w:rPr>
      <w:rFonts w:ascii="Times New Roman" w:eastAsia="Times New Roman" w:hAnsi="Times New Roman" w:cs="Times New Roman"/>
      <w:b/>
      <w:bCs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440</Words>
  <Characters>2511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2020-11-19T04:25:00Z</dcterms:created>
  <dcterms:modified xsi:type="dcterms:W3CDTF">2020-11-19T04:25:00Z</dcterms:modified>
</cp:coreProperties>
</file>